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A874" w14:textId="77777777" w:rsidR="00F05E59" w:rsidRPr="00F05E59" w:rsidRDefault="00F05E59" w:rsidP="00F05E59">
      <w:pPr>
        <w:rPr>
          <w:b/>
          <w:bCs/>
          <w:sz w:val="28"/>
          <w:szCs w:val="28"/>
          <w:lang w:val="fr-FR"/>
        </w:rPr>
      </w:pPr>
      <w:r w:rsidRPr="00F05E59">
        <w:rPr>
          <w:b/>
          <w:bCs/>
          <w:sz w:val="28"/>
          <w:szCs w:val="28"/>
          <w:lang w:val="fr-FR"/>
        </w:rPr>
        <w:t>5e dimanche du </w:t>
      </w:r>
      <w:hyperlink r:id="rId5" w:tgtFrame="_blank" w:history="1">
        <w:r w:rsidRPr="00F05E59">
          <w:rPr>
            <w:rStyle w:val="Hyperlink"/>
            <w:b/>
            <w:bCs/>
            <w:color w:val="auto"/>
            <w:sz w:val="28"/>
            <w:szCs w:val="28"/>
            <w:lang w:val="fr-FR"/>
          </w:rPr>
          <w:t>Temps ordinaire</w:t>
        </w:r>
      </w:hyperlink>
      <w:r w:rsidRPr="00F05E59">
        <w:rPr>
          <w:b/>
          <w:bCs/>
          <w:sz w:val="28"/>
          <w:szCs w:val="28"/>
          <w:lang w:val="fr-FR"/>
        </w:rPr>
        <w:t>, année C</w:t>
      </w:r>
    </w:p>
    <w:p w14:paraId="59994393" w14:textId="77777777" w:rsidR="00F05E59" w:rsidRPr="00F05E59" w:rsidRDefault="00F05E59" w:rsidP="00F05E59">
      <w:pPr>
        <w:rPr>
          <w:b/>
          <w:bCs/>
          <w:sz w:val="28"/>
          <w:szCs w:val="28"/>
          <w:lang w:val="fr-FR"/>
        </w:rPr>
      </w:pPr>
      <w:bookmarkStart w:id="0" w:name="Psaume"/>
      <w:bookmarkEnd w:id="0"/>
      <w:r w:rsidRPr="00F05E59">
        <w:rPr>
          <w:b/>
          <w:bCs/>
          <w:sz w:val="28"/>
          <w:szCs w:val="28"/>
          <w:lang w:val="fr-FR"/>
        </w:rPr>
        <w:t>PSAUME - 137 (138),1-5.7c-8</w:t>
      </w:r>
    </w:p>
    <w:p w14:paraId="67C23D69" w14:textId="77777777" w:rsidR="00F05E59" w:rsidRPr="00F05E59" w:rsidRDefault="00F05E59" w:rsidP="00F05E59">
      <w:pPr>
        <w:rPr>
          <w:sz w:val="28"/>
          <w:szCs w:val="28"/>
          <w:lang w:val="fr-FR"/>
        </w:rPr>
      </w:pPr>
      <w:r w:rsidRPr="00F05E59">
        <w:rPr>
          <w:sz w:val="28"/>
          <w:szCs w:val="28"/>
          <w:lang w:val="fr-FR"/>
        </w:rPr>
        <w:t>1 De tout mon cœur, Seigneur, je te rends grâce,</w:t>
      </w:r>
      <w:r w:rsidRPr="00F05E59">
        <w:rPr>
          <w:sz w:val="28"/>
          <w:szCs w:val="28"/>
          <w:lang w:val="fr-FR"/>
        </w:rPr>
        <w:br/>
        <w:t>tu as entendu les paroles de ma bouche.</w:t>
      </w:r>
      <w:r w:rsidRPr="00F05E59">
        <w:rPr>
          <w:sz w:val="28"/>
          <w:szCs w:val="28"/>
          <w:lang w:val="fr-FR"/>
        </w:rPr>
        <w:br/>
        <w:t>Je te chante en présence des anges,</w:t>
      </w:r>
      <w:r w:rsidRPr="00F05E59">
        <w:rPr>
          <w:sz w:val="28"/>
          <w:szCs w:val="28"/>
          <w:lang w:val="fr-FR"/>
        </w:rPr>
        <w:br/>
        <w:t>2 vers ton temple sacré, je me prosterne.</w:t>
      </w:r>
    </w:p>
    <w:p w14:paraId="21BACB46" w14:textId="77777777" w:rsidR="00F05E59" w:rsidRPr="00F05E59" w:rsidRDefault="00F05E59" w:rsidP="00F05E59">
      <w:pPr>
        <w:rPr>
          <w:sz w:val="28"/>
          <w:szCs w:val="28"/>
          <w:lang w:val="fr-FR"/>
        </w:rPr>
      </w:pPr>
      <w:r w:rsidRPr="00F05E59">
        <w:rPr>
          <w:sz w:val="28"/>
          <w:szCs w:val="28"/>
          <w:lang w:val="fr-FR"/>
        </w:rPr>
        <w:t>Je rends grâce à ton nom pour ton amour et ta vérité,</w:t>
      </w:r>
      <w:r w:rsidRPr="00F05E59">
        <w:rPr>
          <w:sz w:val="28"/>
          <w:szCs w:val="28"/>
          <w:lang w:val="fr-FR"/>
        </w:rPr>
        <w:br/>
        <w:t>car tu élèves au-dessus de tout, ton nom et ta parole.</w:t>
      </w:r>
      <w:r w:rsidRPr="00F05E59">
        <w:rPr>
          <w:sz w:val="28"/>
          <w:szCs w:val="28"/>
          <w:lang w:val="fr-FR"/>
        </w:rPr>
        <w:br/>
        <w:t>3 Le jour où tu répondis à mon appel,</w:t>
      </w:r>
      <w:r w:rsidRPr="00F05E59">
        <w:rPr>
          <w:sz w:val="28"/>
          <w:szCs w:val="28"/>
          <w:lang w:val="fr-FR"/>
        </w:rPr>
        <w:br/>
        <w:t>tu fis grandir en mon âme la force.</w:t>
      </w:r>
    </w:p>
    <w:p w14:paraId="16150603" w14:textId="77777777" w:rsidR="00F05E59" w:rsidRPr="00F05E59" w:rsidRDefault="00F05E59" w:rsidP="00F05E59">
      <w:pPr>
        <w:rPr>
          <w:sz w:val="28"/>
          <w:szCs w:val="28"/>
          <w:lang w:val="fr-FR"/>
        </w:rPr>
      </w:pPr>
      <w:r w:rsidRPr="00F05E59">
        <w:rPr>
          <w:sz w:val="28"/>
          <w:szCs w:val="28"/>
          <w:lang w:val="fr-FR"/>
        </w:rPr>
        <w:t>4 Tous les rois de la terre te rendent grâce</w:t>
      </w:r>
      <w:r w:rsidRPr="00F05E59">
        <w:rPr>
          <w:sz w:val="28"/>
          <w:szCs w:val="28"/>
          <w:lang w:val="fr-FR"/>
        </w:rPr>
        <w:br/>
        <w:t>quand ils entendent les paroles de ta bouche.</w:t>
      </w:r>
      <w:r w:rsidRPr="00F05E59">
        <w:rPr>
          <w:sz w:val="28"/>
          <w:szCs w:val="28"/>
          <w:lang w:val="fr-FR"/>
        </w:rPr>
        <w:br/>
        <w:t>5 Ils chantent les chemins du SEIGNEUR :</w:t>
      </w:r>
      <w:r w:rsidRPr="00F05E59">
        <w:rPr>
          <w:sz w:val="28"/>
          <w:szCs w:val="28"/>
          <w:lang w:val="fr-FR"/>
        </w:rPr>
        <w:br/>
        <w:t>« Qu'elle est grande, la gloire du SEIGNEUR ! »</w:t>
      </w:r>
    </w:p>
    <w:p w14:paraId="3F9462CD" w14:textId="77777777" w:rsidR="00F05E59" w:rsidRPr="00F05E59" w:rsidRDefault="00F05E59" w:rsidP="00F05E59">
      <w:pPr>
        <w:rPr>
          <w:sz w:val="28"/>
          <w:szCs w:val="28"/>
          <w:lang w:val="fr-FR"/>
        </w:rPr>
      </w:pPr>
      <w:r w:rsidRPr="00F05E59">
        <w:rPr>
          <w:sz w:val="28"/>
          <w:szCs w:val="28"/>
          <w:lang w:val="fr-FR"/>
        </w:rPr>
        <w:t>7c Ta droite me rend vainqueur.</w:t>
      </w:r>
      <w:r w:rsidRPr="00F05E59">
        <w:rPr>
          <w:sz w:val="28"/>
          <w:szCs w:val="28"/>
          <w:lang w:val="fr-FR"/>
        </w:rPr>
        <w:br/>
        <w:t>8 Le SEIGNEUR fait tout pour moi !</w:t>
      </w:r>
      <w:r w:rsidRPr="00F05E59">
        <w:rPr>
          <w:sz w:val="28"/>
          <w:szCs w:val="28"/>
          <w:lang w:val="fr-FR"/>
        </w:rPr>
        <w:br/>
        <w:t>SEIGNEUR, éternel est ton amour :</w:t>
      </w:r>
      <w:r w:rsidRPr="00F05E59">
        <w:rPr>
          <w:sz w:val="28"/>
          <w:szCs w:val="28"/>
          <w:lang w:val="fr-FR"/>
        </w:rPr>
        <w:br/>
        <w:t>n'arrête pas l'œuvre de tes mains.</w:t>
      </w:r>
    </w:p>
    <w:p w14:paraId="3A9F37C7" w14:textId="77777777" w:rsidR="00F05E59" w:rsidRPr="00F05E59" w:rsidRDefault="00F05E59" w:rsidP="00F05E59">
      <w:pPr>
        <w:rPr>
          <w:sz w:val="28"/>
          <w:szCs w:val="28"/>
        </w:rPr>
      </w:pPr>
      <w:r w:rsidRPr="00F05E59">
        <w:rPr>
          <w:sz w:val="28"/>
          <w:szCs w:val="28"/>
        </w:rPr>
        <w:pict w14:anchorId="2145E710">
          <v:rect id="_x0000_i1082" style="width:0;height:0" o:hralign="center" o:hrstd="t" o:hr="t" fillcolor="#a0a0a0" stroked="f"/>
        </w:pict>
      </w:r>
    </w:p>
    <w:p w14:paraId="092B96F3" w14:textId="77777777" w:rsidR="00F05E59" w:rsidRPr="00F05E59" w:rsidRDefault="00F05E59" w:rsidP="00F05E59">
      <w:pPr>
        <w:rPr>
          <w:sz w:val="28"/>
          <w:szCs w:val="28"/>
        </w:rPr>
      </w:pPr>
      <w:r w:rsidRPr="00F05E59">
        <w:rPr>
          <w:sz w:val="28"/>
          <w:szCs w:val="28"/>
          <w:lang w:val="fr-FR"/>
        </w:rPr>
        <w:t>DE TOUT MON CŒUR, SEIGNEUR, JE TE RENDS GRACE</w:t>
      </w:r>
      <w:r w:rsidRPr="00F05E59">
        <w:rPr>
          <w:sz w:val="28"/>
          <w:szCs w:val="28"/>
          <w:lang w:val="fr-FR"/>
        </w:rPr>
        <w:br/>
        <w:t>Il se dégage de ce psaume une impression très particulière, très douce, de joie profonde et de sérénité. Dès le premier verset, tout est dit. Par exemple, l’expression « rendre grâce » est répétée : « De tout mon cœur, Seigneur, je te rends grâce »… « Je rends grâce à ton nom ». Le croyant est celui qui vit dans la grâce de Dieu et qui le reconnaît tout simplement, le cœur noyé de reconnaissance.</w:t>
      </w:r>
      <w:r w:rsidRPr="00F05E59">
        <w:rPr>
          <w:sz w:val="28"/>
          <w:szCs w:val="28"/>
          <w:lang w:val="fr-FR"/>
        </w:rPr>
        <w:br/>
        <w:t xml:space="preserve">J’ai dit « le croyant », mais ce croyant n’est pas un individu particulier, c’est le peuple d’Israël, comme toujours dans les psaumes, qui parle ici et qui rend grâce pour l’Alliance que Dieu lui a proposée. Cela s’entend à la répétition du nom « SEIGNEUR » que l’on entend à plusieurs reprises dans ces quelques versets. C’est le fameux NOM de Dieu, ce que nous appelons le « tétragramme » puisqu’il s’agit de quatre consonnes, ce Nom révélé par Dieu à Moïse au Sinaï au moment de l’épisode du buisson ardent (Ex 3). Dieu s’est encore révélé à Moïse au cours de l’Exode dans le Sinaï, sous le nom de « amour et vérité » : nous l’entendons également ici : « Je rends </w:t>
      </w:r>
      <w:r w:rsidRPr="00F05E59">
        <w:rPr>
          <w:sz w:val="28"/>
          <w:szCs w:val="28"/>
          <w:lang w:val="fr-FR"/>
        </w:rPr>
        <w:lastRenderedPageBreak/>
        <w:t>grâce à ton nom pour ton amour et ta vérité ». Nous retrouvons cette même expression « amour et vérité » à plusieurs reprises dans d’autres psaumes et dans l’ensemble de la Bible ; c’est la précieuse découverte d’Israël, grâce au souffle de Dieu, bien sûr. On peut la lire au chapitre 34 de l’Exode : « (je suis) le SEIGNEUR, Dieu tendre et miséricordieux, lent à la colère, plein d’amour et de vérité ». (Ex 34,6). Et ce n’est pas un hasard si cette révélation de la tendresse de Dieu est intervenue après l’épisode du veau d’or, c’est-à-dire une infidélité caractérisée du peuple. Car c’est précisément à l’occasion de ses infidélités répétées que le peuple d’Israël a fait l’expérience de l’inépuisable miséricorde de Dieu.</w:t>
      </w:r>
      <w:r w:rsidRPr="00F05E59">
        <w:rPr>
          <w:sz w:val="28"/>
          <w:szCs w:val="28"/>
          <w:lang w:val="fr-FR"/>
        </w:rPr>
        <w:br/>
        <w:t>C’est cette fidélité de Dieu que l’on chante inlassablement au Temple de Jérusalem : « Vers ton temple sacré je me prosterne » ...le décor ici est le même que dans le récit de la vocation d’Isaïe que nous avons lu en première lecture… et le psaume continue : « Je rends grâce à ton nom pour ton amour et ta vérité ». Dans le récit de la vocation d’Isaïe, l’accent était mis sur la Sainteté de Dieu, le fossé qui nous sépare de Dieu, et que nous ne pouvons combler par nos propres forces ni par aucune action, si méritoire soit-elle... C’est Dieu lui-même qui en permanence comble ce fossé et nous invite à entrer dans son intimité. Dans ce psaume, nous découvrons en quoi consiste la Sainteté de Dieu : Dieu est Amour et vérité : voilà sa sainteté... et il est vrai qu’en cela un fossé nous sépare de Lui.</w:t>
      </w:r>
      <w:r w:rsidRPr="00F05E59">
        <w:rPr>
          <w:sz w:val="28"/>
          <w:szCs w:val="28"/>
          <w:lang w:val="fr-FR"/>
        </w:rPr>
        <w:br/>
        <w:t>A la fin du psaume, nous retrouvons une autre expression de cette prise de conscience de l’amour de Dieu : « éternel est ton amour », vous avez reconnu le refrain du psaume 135 (136) qui est, lui aussi, un rappel de la libération de l’Exode. L’allusion à la « droite » (traduisez la main) de Dieu (dans le verset « Ta droite me rend vainqueur ») est encore un autre rappel de l’Exode : car, selon l’expression consacrée, Dieu nous a libérés « à main forte et à bras étendu » (</w:t>
      </w:r>
      <w:proofErr w:type="spellStart"/>
      <w:r w:rsidRPr="00F05E59">
        <w:rPr>
          <w:sz w:val="28"/>
          <w:szCs w:val="28"/>
          <w:lang w:val="fr-FR"/>
        </w:rPr>
        <w:t>Dt</w:t>
      </w:r>
      <w:proofErr w:type="spellEnd"/>
      <w:r w:rsidRPr="00F05E59">
        <w:rPr>
          <w:sz w:val="28"/>
          <w:szCs w:val="28"/>
          <w:lang w:val="fr-FR"/>
        </w:rPr>
        <w:t xml:space="preserve"> 4,34).</w:t>
      </w:r>
      <w:r w:rsidRPr="00F05E59">
        <w:rPr>
          <w:sz w:val="28"/>
          <w:szCs w:val="28"/>
          <w:lang w:val="fr-FR"/>
        </w:rPr>
        <w:br/>
        <w:t>TOUS LES ROIS DE LA TERRE TE RENDRONT GRACE</w:t>
      </w:r>
      <w:r w:rsidRPr="00F05E59">
        <w:rPr>
          <w:sz w:val="28"/>
          <w:szCs w:val="28"/>
          <w:lang w:val="fr-FR"/>
        </w:rPr>
        <w:br/>
        <w:t>Cette Alliance du Sinaï a fait d’Israël le bénéficiaire de la Révélation, le confident de Dieu ; et c’est ce qui vient d’être exprimé de plusieurs manières. Mais Israël a découvert également que ce n’est pas le tout d’être le confident de Dieu. Désormais, il doit en être le prophète : c’est-à-dire qu’il a la charge, la responsabilité de proclamer l’amour et la vérité de Dieu à l’ensemble de l’humanité.</w:t>
      </w:r>
      <w:r w:rsidRPr="00F05E59">
        <w:rPr>
          <w:sz w:val="28"/>
          <w:szCs w:val="28"/>
          <w:lang w:val="fr-FR"/>
        </w:rPr>
        <w:br/>
        <w:t xml:space="preserve">C’est le sens du verset : « Tous les rois de la terre te rendent grâce »1. A dire vrai, c’est pour le moins une anticipation ! Tous les rois de la terre ne sont pas encore convertis, ni au temps de David, ni même à la fin de l’Ancien </w:t>
      </w:r>
      <w:r w:rsidRPr="00F05E59">
        <w:rPr>
          <w:sz w:val="28"/>
          <w:szCs w:val="28"/>
          <w:lang w:val="fr-FR"/>
        </w:rPr>
        <w:lastRenderedPageBreak/>
        <w:t>Testament, et pas encore non plus aujourd’hui... loin de là ! Mais cette anticipation, on y tient : elle est un rappel du double aspect de la vocation d’Israël dont je viens de parler. Pour que les rois de la terre s’inclinent devant Dieu, il faudra qu’ils aient entendu la Bonne Nouvelle. Le psaume dit bien : « Tous les rois de la terre te rendent grâce quand ils entendent les paroles de ta bouche ». Quand Israël aura rempli sa mission de témoin de Dieu, alors on pourra chanter vraiment : « De tout mon cœur je te rends grâce // tous les rois de la terre te rendent grâce ».</w:t>
      </w:r>
      <w:r w:rsidRPr="00F05E59">
        <w:rPr>
          <w:sz w:val="28"/>
          <w:szCs w:val="28"/>
          <w:lang w:val="fr-FR"/>
        </w:rPr>
        <w:br/>
        <w:t>Dernière remarque à propos d’une phrase apparemment toute simple : « Je te chante en présence des anges ». Il est intéressant de noter que, dans la Bible en hébreu, la formule était : « Je te chante devant les dieux ». C’était une sorte de profession de foi, manière d’affirmer qu’Israël ne tombe pas dans l’idolâtrie : Dieu seul est Dieu, les dieux des autres peuples ne sont que néant. Mais s’il est utile de l’affirmer, c’est que le danger n’est pas totalement écarté. Cela sonne donc plutôt comme une résolution.</w:t>
      </w:r>
      <w:r w:rsidRPr="00F05E59">
        <w:rPr>
          <w:sz w:val="28"/>
          <w:szCs w:val="28"/>
          <w:lang w:val="fr-FR"/>
        </w:rPr>
        <w:br/>
        <w:t>En revanche, quand la Bible hébraïque a été traduite en grec, les traducteurs, considérant probablement qu’il n’y avait plus de danger d’idolâtrie ont remplacé le mot « dieux » par « anges ». D’où notre verset : « Je te change en présence des anges ». (Or notre psautier liturgique s’inspire du grec).</w:t>
      </w:r>
      <w:r w:rsidRPr="00F05E59">
        <w:rPr>
          <w:sz w:val="28"/>
          <w:szCs w:val="28"/>
          <w:lang w:val="fr-FR"/>
        </w:rPr>
        <w:br/>
        <w:t>Enfin, le psaume se termine par une prière : « N’arrête pas l’œuvre de tes mains », ce qui veut dire « continue malgré nos infidélités répétées » ; il faut lire ensemble les deux phrases « SEIGNEUR, éternel est ton amour : n’arrête pas l’œuvre de tes mains. » C’est parce que l’amour de Dieu est éternel que nous savons qu’il n’arrêtera pas « l’œuvre de ses mains ».</w:t>
      </w:r>
      <w:r w:rsidRPr="00F05E59">
        <w:rPr>
          <w:sz w:val="28"/>
          <w:szCs w:val="28"/>
          <w:lang w:val="fr-FR"/>
        </w:rPr>
        <w:br/>
        <w:t>Et c’est bien pour cela que nous ne cessons de rendre grâce : « Le SEIGNEUR fait tout pour moi », chante le psaume. Nous savons que nous sommes enveloppés en permanence de sa présence et de sa sollicitude. Comme dit saint Paul : « Dieu fait tout concourir au bien de ceux qui l’aiment » (</w:t>
      </w:r>
      <w:proofErr w:type="spellStart"/>
      <w:r w:rsidRPr="00F05E59">
        <w:rPr>
          <w:sz w:val="28"/>
          <w:szCs w:val="28"/>
          <w:lang w:val="fr-FR"/>
        </w:rPr>
        <w:t>Rm</w:t>
      </w:r>
      <w:proofErr w:type="spellEnd"/>
      <w:r w:rsidRPr="00F05E59">
        <w:rPr>
          <w:sz w:val="28"/>
          <w:szCs w:val="28"/>
          <w:lang w:val="fr-FR"/>
        </w:rPr>
        <w:t xml:space="preserve"> 8,28), c’est-à-dire « qui lui font confiance ».</w:t>
      </w:r>
      <w:r w:rsidRPr="00F05E59">
        <w:rPr>
          <w:sz w:val="28"/>
          <w:szCs w:val="28"/>
          <w:lang w:val="fr-FR"/>
        </w:rPr>
        <w:br/>
        <w:t>------------------------</w:t>
      </w:r>
      <w:r w:rsidRPr="00F05E59">
        <w:rPr>
          <w:sz w:val="28"/>
          <w:szCs w:val="28"/>
          <w:lang w:val="fr-FR"/>
        </w:rPr>
        <w:br/>
        <w:t>Note</w:t>
      </w:r>
      <w:r w:rsidRPr="00F05E59">
        <w:rPr>
          <w:sz w:val="28"/>
          <w:szCs w:val="28"/>
          <w:lang w:val="fr-FR"/>
        </w:rPr>
        <w:br/>
        <w:t xml:space="preserve">1 – « Tous les rois de la terre te rendent grâce » : cette traduction par un indicatif présent est un choix. La forme du verbe en hébreu (qu’on appelle un inaccompli) pourrait tout aussi valablement être traduite par un futur (« Tous les rois de la terre te rendront grâce ») ou un subjonctif (« Que tous les rois de la terre te rendent grâce »). </w:t>
      </w:r>
      <w:r w:rsidRPr="00F05E59">
        <w:rPr>
          <w:sz w:val="28"/>
          <w:szCs w:val="28"/>
        </w:rPr>
        <w:t xml:space="preserve">Cela </w:t>
      </w:r>
      <w:proofErr w:type="spellStart"/>
      <w:r w:rsidRPr="00F05E59">
        <w:rPr>
          <w:sz w:val="28"/>
          <w:szCs w:val="28"/>
        </w:rPr>
        <w:t>change</w:t>
      </w:r>
      <w:proofErr w:type="spellEnd"/>
      <w:r w:rsidRPr="00F05E59">
        <w:rPr>
          <w:sz w:val="28"/>
          <w:szCs w:val="28"/>
        </w:rPr>
        <w:t xml:space="preserve"> </w:t>
      </w:r>
      <w:proofErr w:type="spellStart"/>
      <w:r w:rsidRPr="00F05E59">
        <w:rPr>
          <w:sz w:val="28"/>
          <w:szCs w:val="28"/>
        </w:rPr>
        <w:t>évidemment</w:t>
      </w:r>
      <w:proofErr w:type="spellEnd"/>
      <w:r w:rsidRPr="00F05E59">
        <w:rPr>
          <w:sz w:val="28"/>
          <w:szCs w:val="28"/>
        </w:rPr>
        <w:t xml:space="preserve"> </w:t>
      </w:r>
      <w:proofErr w:type="spellStart"/>
      <w:r w:rsidRPr="00F05E59">
        <w:rPr>
          <w:sz w:val="28"/>
          <w:szCs w:val="28"/>
        </w:rPr>
        <w:t>quelque</w:t>
      </w:r>
      <w:proofErr w:type="spellEnd"/>
      <w:r w:rsidRPr="00F05E59">
        <w:rPr>
          <w:sz w:val="28"/>
          <w:szCs w:val="28"/>
        </w:rPr>
        <w:t xml:space="preserve"> </w:t>
      </w:r>
      <w:proofErr w:type="spellStart"/>
      <w:r w:rsidRPr="00F05E59">
        <w:rPr>
          <w:sz w:val="28"/>
          <w:szCs w:val="28"/>
        </w:rPr>
        <w:t>peu</w:t>
      </w:r>
      <w:proofErr w:type="spellEnd"/>
      <w:r w:rsidRPr="00F05E59">
        <w:rPr>
          <w:sz w:val="28"/>
          <w:szCs w:val="28"/>
        </w:rPr>
        <w:t xml:space="preserve"> le sens.</w:t>
      </w:r>
    </w:p>
    <w:sectPr w:rsidR="00F05E59" w:rsidRPr="00F05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5A3F"/>
    <w:multiLevelType w:val="multilevel"/>
    <w:tmpl w:val="F830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04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9"/>
    <w:rsid w:val="00066CE2"/>
    <w:rsid w:val="00324329"/>
    <w:rsid w:val="004C11B5"/>
    <w:rsid w:val="0068303A"/>
    <w:rsid w:val="00714F26"/>
    <w:rsid w:val="00BD1148"/>
    <w:rsid w:val="00C13B5A"/>
    <w:rsid w:val="00F05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0BCE"/>
  <w15:chartTrackingRefBased/>
  <w15:docId w15:val="{E38BA3A1-40AA-4334-BA2D-F75ACFD4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5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5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5E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5E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5E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5E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5E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5E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5E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5E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5E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5E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5E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5E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5E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5E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5E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5E59"/>
    <w:rPr>
      <w:rFonts w:eastAsiaTheme="majorEastAsia" w:cstheme="majorBidi"/>
      <w:color w:val="272727" w:themeColor="text1" w:themeTint="D8"/>
    </w:rPr>
  </w:style>
  <w:style w:type="paragraph" w:styleId="Titel">
    <w:name w:val="Title"/>
    <w:basedOn w:val="Standaard"/>
    <w:next w:val="Standaard"/>
    <w:link w:val="TitelChar"/>
    <w:uiPriority w:val="10"/>
    <w:qFormat/>
    <w:rsid w:val="00F05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5E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5E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5E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5E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5E59"/>
    <w:rPr>
      <w:i/>
      <w:iCs/>
      <w:color w:val="404040" w:themeColor="text1" w:themeTint="BF"/>
    </w:rPr>
  </w:style>
  <w:style w:type="paragraph" w:styleId="Lijstalinea">
    <w:name w:val="List Paragraph"/>
    <w:basedOn w:val="Standaard"/>
    <w:uiPriority w:val="34"/>
    <w:qFormat/>
    <w:rsid w:val="00F05E59"/>
    <w:pPr>
      <w:ind w:left="720"/>
      <w:contextualSpacing/>
    </w:pPr>
  </w:style>
  <w:style w:type="character" w:styleId="Intensievebenadrukking">
    <w:name w:val="Intense Emphasis"/>
    <w:basedOn w:val="Standaardalinea-lettertype"/>
    <w:uiPriority w:val="21"/>
    <w:qFormat/>
    <w:rsid w:val="00F05E59"/>
    <w:rPr>
      <w:i/>
      <w:iCs/>
      <w:color w:val="0F4761" w:themeColor="accent1" w:themeShade="BF"/>
    </w:rPr>
  </w:style>
  <w:style w:type="paragraph" w:styleId="Duidelijkcitaat">
    <w:name w:val="Intense Quote"/>
    <w:basedOn w:val="Standaard"/>
    <w:next w:val="Standaard"/>
    <w:link w:val="DuidelijkcitaatChar"/>
    <w:uiPriority w:val="30"/>
    <w:qFormat/>
    <w:rsid w:val="00F05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5E59"/>
    <w:rPr>
      <w:i/>
      <w:iCs/>
      <w:color w:val="0F4761" w:themeColor="accent1" w:themeShade="BF"/>
    </w:rPr>
  </w:style>
  <w:style w:type="character" w:styleId="Intensieveverwijzing">
    <w:name w:val="Intense Reference"/>
    <w:basedOn w:val="Standaardalinea-lettertype"/>
    <w:uiPriority w:val="32"/>
    <w:qFormat/>
    <w:rsid w:val="00F05E59"/>
    <w:rPr>
      <w:b/>
      <w:bCs/>
      <w:smallCaps/>
      <w:color w:val="0F4761" w:themeColor="accent1" w:themeShade="BF"/>
      <w:spacing w:val="5"/>
    </w:rPr>
  </w:style>
  <w:style w:type="character" w:styleId="Hyperlink">
    <w:name w:val="Hyperlink"/>
    <w:basedOn w:val="Standaardalinea-lettertype"/>
    <w:uiPriority w:val="99"/>
    <w:unhideWhenUsed/>
    <w:rsid w:val="00F05E59"/>
    <w:rPr>
      <w:color w:val="467886" w:themeColor="hyperlink"/>
      <w:u w:val="single"/>
    </w:rPr>
  </w:style>
  <w:style w:type="character" w:styleId="Onopgelostemelding">
    <w:name w:val="Unresolved Mention"/>
    <w:basedOn w:val="Standaardalinea-lettertype"/>
    <w:uiPriority w:val="99"/>
    <w:semiHidden/>
    <w:unhideWhenUsed/>
    <w:rsid w:val="00F0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772954">
      <w:bodyDiv w:val="1"/>
      <w:marLeft w:val="0"/>
      <w:marRight w:val="0"/>
      <w:marTop w:val="0"/>
      <w:marBottom w:val="0"/>
      <w:divBdr>
        <w:top w:val="none" w:sz="0" w:space="0" w:color="auto"/>
        <w:left w:val="none" w:sz="0" w:space="0" w:color="auto"/>
        <w:bottom w:val="none" w:sz="0" w:space="0" w:color="auto"/>
        <w:right w:val="none" w:sz="0" w:space="0" w:color="auto"/>
      </w:divBdr>
      <w:divsChild>
        <w:div w:id="1160388403">
          <w:marLeft w:val="0"/>
          <w:marRight w:val="0"/>
          <w:marTop w:val="0"/>
          <w:marBottom w:val="300"/>
          <w:divBdr>
            <w:top w:val="none" w:sz="0" w:space="0" w:color="auto"/>
            <w:left w:val="none" w:sz="0" w:space="0" w:color="auto"/>
            <w:bottom w:val="none" w:sz="0" w:space="0" w:color="auto"/>
            <w:right w:val="none" w:sz="0" w:space="0" w:color="auto"/>
          </w:divBdr>
          <w:divsChild>
            <w:div w:id="651761717">
              <w:marLeft w:val="0"/>
              <w:marRight w:val="0"/>
              <w:marTop w:val="0"/>
              <w:marBottom w:val="0"/>
              <w:divBdr>
                <w:top w:val="none" w:sz="0" w:space="0" w:color="auto"/>
                <w:left w:val="none" w:sz="0" w:space="0" w:color="auto"/>
                <w:bottom w:val="none" w:sz="0" w:space="0" w:color="auto"/>
                <w:right w:val="none" w:sz="0" w:space="0" w:color="auto"/>
              </w:divBdr>
            </w:div>
          </w:divsChild>
        </w:div>
        <w:div w:id="1168322785">
          <w:marLeft w:val="0"/>
          <w:marRight w:val="0"/>
          <w:marTop w:val="0"/>
          <w:marBottom w:val="300"/>
          <w:divBdr>
            <w:top w:val="none" w:sz="0" w:space="0" w:color="auto"/>
            <w:left w:val="none" w:sz="0" w:space="0" w:color="auto"/>
            <w:bottom w:val="none" w:sz="0" w:space="0" w:color="auto"/>
            <w:right w:val="none" w:sz="0" w:space="0" w:color="auto"/>
          </w:divBdr>
          <w:divsChild>
            <w:div w:id="2093621639">
              <w:marLeft w:val="0"/>
              <w:marRight w:val="0"/>
              <w:marTop w:val="0"/>
              <w:marBottom w:val="0"/>
              <w:divBdr>
                <w:top w:val="none" w:sz="0" w:space="0" w:color="auto"/>
                <w:left w:val="none" w:sz="0" w:space="0" w:color="auto"/>
                <w:bottom w:val="none" w:sz="0" w:space="0" w:color="auto"/>
                <w:right w:val="none" w:sz="0" w:space="0" w:color="auto"/>
              </w:divBdr>
            </w:div>
          </w:divsChild>
        </w:div>
        <w:div w:id="1331905622">
          <w:marLeft w:val="0"/>
          <w:marRight w:val="0"/>
          <w:marTop w:val="0"/>
          <w:marBottom w:val="300"/>
          <w:divBdr>
            <w:top w:val="none" w:sz="0" w:space="0" w:color="auto"/>
            <w:left w:val="none" w:sz="0" w:space="0" w:color="auto"/>
            <w:bottom w:val="none" w:sz="0" w:space="0" w:color="auto"/>
            <w:right w:val="none" w:sz="0" w:space="0" w:color="auto"/>
          </w:divBdr>
          <w:divsChild>
            <w:div w:id="865874889">
              <w:marLeft w:val="0"/>
              <w:marRight w:val="0"/>
              <w:marTop w:val="0"/>
              <w:marBottom w:val="0"/>
              <w:divBdr>
                <w:top w:val="none" w:sz="0" w:space="0" w:color="auto"/>
                <w:left w:val="none" w:sz="0" w:space="0" w:color="auto"/>
                <w:bottom w:val="none" w:sz="0" w:space="0" w:color="auto"/>
                <w:right w:val="none" w:sz="0" w:space="0" w:color="auto"/>
              </w:divBdr>
            </w:div>
          </w:divsChild>
        </w:div>
        <w:div w:id="968124844">
          <w:marLeft w:val="0"/>
          <w:marRight w:val="0"/>
          <w:marTop w:val="0"/>
          <w:marBottom w:val="300"/>
          <w:divBdr>
            <w:top w:val="none" w:sz="0" w:space="0" w:color="auto"/>
            <w:left w:val="none" w:sz="0" w:space="0" w:color="auto"/>
            <w:bottom w:val="none" w:sz="0" w:space="0" w:color="auto"/>
            <w:right w:val="none" w:sz="0" w:space="0" w:color="auto"/>
          </w:divBdr>
          <w:divsChild>
            <w:div w:id="770321746">
              <w:marLeft w:val="0"/>
              <w:marRight w:val="0"/>
              <w:marTop w:val="0"/>
              <w:marBottom w:val="0"/>
              <w:divBdr>
                <w:top w:val="none" w:sz="0" w:space="0" w:color="auto"/>
                <w:left w:val="none" w:sz="0" w:space="0" w:color="auto"/>
                <w:bottom w:val="none" w:sz="0" w:space="0" w:color="auto"/>
                <w:right w:val="none" w:sz="0" w:space="0" w:color="auto"/>
              </w:divBdr>
            </w:div>
          </w:divsChild>
        </w:div>
        <w:div w:id="1670058524">
          <w:marLeft w:val="0"/>
          <w:marRight w:val="0"/>
          <w:marTop w:val="0"/>
          <w:marBottom w:val="300"/>
          <w:divBdr>
            <w:top w:val="none" w:sz="0" w:space="0" w:color="auto"/>
            <w:left w:val="none" w:sz="0" w:space="0" w:color="auto"/>
            <w:bottom w:val="none" w:sz="0" w:space="0" w:color="auto"/>
            <w:right w:val="none" w:sz="0" w:space="0" w:color="auto"/>
          </w:divBdr>
          <w:divsChild>
            <w:div w:id="1044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60197">
      <w:bodyDiv w:val="1"/>
      <w:marLeft w:val="0"/>
      <w:marRight w:val="0"/>
      <w:marTop w:val="0"/>
      <w:marBottom w:val="0"/>
      <w:divBdr>
        <w:top w:val="none" w:sz="0" w:space="0" w:color="auto"/>
        <w:left w:val="none" w:sz="0" w:space="0" w:color="auto"/>
        <w:bottom w:val="none" w:sz="0" w:space="0" w:color="auto"/>
        <w:right w:val="none" w:sz="0" w:space="0" w:color="auto"/>
      </w:divBdr>
      <w:divsChild>
        <w:div w:id="1964460378">
          <w:marLeft w:val="0"/>
          <w:marRight w:val="0"/>
          <w:marTop w:val="0"/>
          <w:marBottom w:val="300"/>
          <w:divBdr>
            <w:top w:val="none" w:sz="0" w:space="0" w:color="auto"/>
            <w:left w:val="none" w:sz="0" w:space="0" w:color="auto"/>
            <w:bottom w:val="none" w:sz="0" w:space="0" w:color="auto"/>
            <w:right w:val="none" w:sz="0" w:space="0" w:color="auto"/>
          </w:divBdr>
          <w:divsChild>
            <w:div w:id="776169993">
              <w:marLeft w:val="0"/>
              <w:marRight w:val="0"/>
              <w:marTop w:val="0"/>
              <w:marBottom w:val="0"/>
              <w:divBdr>
                <w:top w:val="none" w:sz="0" w:space="0" w:color="auto"/>
                <w:left w:val="none" w:sz="0" w:space="0" w:color="auto"/>
                <w:bottom w:val="none" w:sz="0" w:space="0" w:color="auto"/>
                <w:right w:val="none" w:sz="0" w:space="0" w:color="auto"/>
              </w:divBdr>
            </w:div>
          </w:divsChild>
        </w:div>
        <w:div w:id="546382336">
          <w:marLeft w:val="0"/>
          <w:marRight w:val="0"/>
          <w:marTop w:val="0"/>
          <w:marBottom w:val="300"/>
          <w:divBdr>
            <w:top w:val="none" w:sz="0" w:space="0" w:color="auto"/>
            <w:left w:val="none" w:sz="0" w:space="0" w:color="auto"/>
            <w:bottom w:val="none" w:sz="0" w:space="0" w:color="auto"/>
            <w:right w:val="none" w:sz="0" w:space="0" w:color="auto"/>
          </w:divBdr>
          <w:divsChild>
            <w:div w:id="739255386">
              <w:marLeft w:val="0"/>
              <w:marRight w:val="0"/>
              <w:marTop w:val="0"/>
              <w:marBottom w:val="0"/>
              <w:divBdr>
                <w:top w:val="none" w:sz="0" w:space="0" w:color="auto"/>
                <w:left w:val="none" w:sz="0" w:space="0" w:color="auto"/>
                <w:bottom w:val="none" w:sz="0" w:space="0" w:color="auto"/>
                <w:right w:val="none" w:sz="0" w:space="0" w:color="auto"/>
              </w:divBdr>
            </w:div>
          </w:divsChild>
        </w:div>
        <w:div w:id="912204382">
          <w:marLeft w:val="0"/>
          <w:marRight w:val="0"/>
          <w:marTop w:val="0"/>
          <w:marBottom w:val="300"/>
          <w:divBdr>
            <w:top w:val="none" w:sz="0" w:space="0" w:color="auto"/>
            <w:left w:val="none" w:sz="0" w:space="0" w:color="auto"/>
            <w:bottom w:val="none" w:sz="0" w:space="0" w:color="auto"/>
            <w:right w:val="none" w:sz="0" w:space="0" w:color="auto"/>
          </w:divBdr>
          <w:divsChild>
            <w:div w:id="1751080444">
              <w:marLeft w:val="0"/>
              <w:marRight w:val="0"/>
              <w:marTop w:val="0"/>
              <w:marBottom w:val="0"/>
              <w:divBdr>
                <w:top w:val="none" w:sz="0" w:space="0" w:color="auto"/>
                <w:left w:val="none" w:sz="0" w:space="0" w:color="auto"/>
                <w:bottom w:val="none" w:sz="0" w:space="0" w:color="auto"/>
                <w:right w:val="none" w:sz="0" w:space="0" w:color="auto"/>
              </w:divBdr>
            </w:div>
          </w:divsChild>
        </w:div>
        <w:div w:id="234628397">
          <w:marLeft w:val="0"/>
          <w:marRight w:val="0"/>
          <w:marTop w:val="0"/>
          <w:marBottom w:val="300"/>
          <w:divBdr>
            <w:top w:val="none" w:sz="0" w:space="0" w:color="auto"/>
            <w:left w:val="none" w:sz="0" w:space="0" w:color="auto"/>
            <w:bottom w:val="none" w:sz="0" w:space="0" w:color="auto"/>
            <w:right w:val="none" w:sz="0" w:space="0" w:color="auto"/>
          </w:divBdr>
          <w:divsChild>
            <w:div w:id="2099015181">
              <w:marLeft w:val="0"/>
              <w:marRight w:val="0"/>
              <w:marTop w:val="0"/>
              <w:marBottom w:val="0"/>
              <w:divBdr>
                <w:top w:val="none" w:sz="0" w:space="0" w:color="auto"/>
                <w:left w:val="none" w:sz="0" w:space="0" w:color="auto"/>
                <w:bottom w:val="none" w:sz="0" w:space="0" w:color="auto"/>
                <w:right w:val="none" w:sz="0" w:space="0" w:color="auto"/>
              </w:divBdr>
            </w:div>
          </w:divsChild>
        </w:div>
        <w:div w:id="494537781">
          <w:marLeft w:val="0"/>
          <w:marRight w:val="0"/>
          <w:marTop w:val="0"/>
          <w:marBottom w:val="300"/>
          <w:divBdr>
            <w:top w:val="none" w:sz="0" w:space="0" w:color="auto"/>
            <w:left w:val="none" w:sz="0" w:space="0" w:color="auto"/>
            <w:bottom w:val="none" w:sz="0" w:space="0" w:color="auto"/>
            <w:right w:val="none" w:sz="0" w:space="0" w:color="auto"/>
          </w:divBdr>
          <w:divsChild>
            <w:div w:id="14093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lise.catholique.fr/approfondir-sa-foi/la-celebration-de-la-foi/les-grandes-fetes-chretiennes/450895-le-temps-ordinair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6244</Characters>
  <Application>Microsoft Office Word</Application>
  <DocSecurity>0</DocSecurity>
  <Lines>52</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Vanderheyden Luc</dc:creator>
  <cp:keywords/>
  <dc:description/>
  <cp:lastModifiedBy>Vanderheyden Luc</cp:lastModifiedBy>
  <cp:revision>5</cp:revision>
  <dcterms:created xsi:type="dcterms:W3CDTF">2025-02-03T17:11:00Z</dcterms:created>
  <dcterms:modified xsi:type="dcterms:W3CDTF">2025-02-03T17:20:00Z</dcterms:modified>
</cp:coreProperties>
</file>