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76B4"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2e dimanche du Temps Ordinaire, année C</w:t>
      </w:r>
    </w:p>
    <w:p w14:paraId="4AEE21B8" w14:textId="77777777" w:rsidR="000E1EAB" w:rsidRPr="009E38F0" w:rsidRDefault="000E1EAB" w:rsidP="000E1EAB">
      <w:pPr>
        <w:jc w:val="both"/>
        <w:rPr>
          <w:rFonts w:ascii="Times New Roman" w:hAnsi="Times New Roman" w:cs="Times New Roman"/>
          <w:sz w:val="28"/>
          <w:szCs w:val="28"/>
        </w:rPr>
      </w:pPr>
      <w:r w:rsidRPr="000B7E84">
        <w:rPr>
          <w:rFonts w:ascii="Times New Roman" w:hAnsi="Times New Roman" w:cs="Times New Roman"/>
          <w:b/>
          <w:bCs/>
          <w:sz w:val="28"/>
          <w:szCs w:val="28"/>
        </w:rPr>
        <w:t>PREMIERE LECTURE</w:t>
      </w:r>
      <w:r w:rsidRPr="009E38F0">
        <w:rPr>
          <w:rFonts w:ascii="Times New Roman" w:hAnsi="Times New Roman" w:cs="Times New Roman"/>
          <w:sz w:val="28"/>
          <w:szCs w:val="28"/>
        </w:rPr>
        <w:t xml:space="preserve"> - LIVRE DU PROPHETE ISAIE  62,1-5</w:t>
      </w:r>
    </w:p>
    <w:p w14:paraId="5F980AF7"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COMME LA JEUNE MARIEE FAIT LA JOIE DE SON MARI...</w:t>
      </w:r>
    </w:p>
    <w:p w14:paraId="66E9A10F"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Le prophète Isaïe ne manquait pas d’audace ! A deux reprises, dans ces quelques versets, il a employé le mot « désir » (au sens de désir amoureux) pour traduire les sentiments de Dieu à l’égard de son peuple. Les mots « ma préférée » et « préférence » sont trop faibles ; il faudrait traduire : « On ne t’appellera plus ‘la délaissée’, on n’appellera plus ta contrée ‘terre déserte’, mais on te nommera ‘ma désirée’ (littéralement mon désir est en toi), on nommera ta contrée ‘mon épouse’, car le SEIGNEUR met en toi son désir et ta contrée aura un époux.</w:t>
      </w:r>
    </w:p>
    <w:p w14:paraId="2BD4BBE7"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Ce que nous avons entendu ici est une véritable déclaration d’amour ! Un fiancé n’en dirait pas davantage à sa bien-aimée. Tu seras ma préférée, mon épouse... Tu seras belle comme une couronne, comme un diadème d’or entre mes mains... tu seras ma joie... Et pour cette déclaration, vous avez remarqué la beauté du vocabulaire, la poésie qui émane de ce texte. On y retrouve le parallélisme des phrases, si caractéristique des psaumes. « Pour la cause de Sion, je ne me tairai pas, / et pour Jérusalem, je n’aurai de cesse... Tu seras une couronne brillante dans la main du SEIGNEUR, / un diadème royal entre les doigts de ton Dieu... Toi, tu seras appelée ‘Ma Préférence’, cette terre se nommera ‘L’Epousée’. Car le SEIGNEUR t’a préférée, / et cette terre deviendra ‘L’Epousée’ ».</w:t>
      </w:r>
    </w:p>
    <w:p w14:paraId="1B3965A3"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Cinq siècles avant Jésus-Christ, déjà, le prophète Isaïe allait donc jusque-là ! Car on pourrait vraiment appeler ce texte le « poème d’amour de Dieu ». Et Isaïe n’est pas le premier à avoir cette audace.</w:t>
      </w:r>
    </w:p>
    <w:p w14:paraId="03FCD41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Il est vrai qu’au tout début de la Révélation biblique, les premiers textes de l’Ancien Testament n’employaient pas du tout ce langage. Pourtant, si Dieu aime l’humanité d’un tel amour, c’était déjà vrai dès l’origine. Mais c’était l’humanité qui n’était pas prête à entendre. La Révélation de Dieu comme Epoux, tout comme celle de Dieu-Père n’a pu se faire qu’après des siècles d’histoire biblique.</w:t>
      </w:r>
    </w:p>
    <w:p w14:paraId="156140D6"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Au début de l’Alliance entre Dieu et son peuple, cette notion aurait été trop ambiguë. Les autres peuples ne concevaient que trop facilement leurs dieux à l’image des hommes et de leurs histoires de famille ; dans une première étape de la Révélation, il fallait donc déjà découvrir le Dieu tout-Autre que l’homme et entrer dans son Alliance.</w:t>
      </w:r>
    </w:p>
    <w:p w14:paraId="4F011A59"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 xml:space="preserve">C’est le prophète Osée, au huitième siècle av.J.C., qui, le premier, a comparé le peuple d’Israël à une épouse ; et il traitait d’adultères les infidélités du peuple, c’est-à-dire ses retombées dans l’idolâtrie. A sa suite Jérémie, Ezéchiel, le </w:t>
      </w:r>
      <w:r w:rsidRPr="009E38F0">
        <w:rPr>
          <w:rFonts w:ascii="Times New Roman" w:hAnsi="Times New Roman" w:cs="Times New Roman"/>
          <w:sz w:val="28"/>
          <w:szCs w:val="28"/>
        </w:rPr>
        <w:lastRenderedPageBreak/>
        <w:t>deuxième Isaïe et le troisième Isaïe (celui que nous lisons aujourd’hui) ont développé ce thème des noces entre Dieu et son peuple ; et on retrouve chez eux tout le vocabulaire des fiançailles et des noces : les noms tendres, la robe nuptiale, la couronne de mariée, la fidélité, mais aussi la jalousie, l’adultère, les retrouvailles.</w:t>
      </w:r>
    </w:p>
    <w:p w14:paraId="785CA28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...TU SERAS LA JOIE DE TON DIEU</w:t>
      </w:r>
    </w:p>
    <w:p w14:paraId="14D4A303"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En voici quelques extraits, par exemple chez Osée : « Tu m’appelleras mon époux... je ferai de toi mon épouse pour toujours... dans la justice et le droit, dans la fidélité et la tendresse. » (Os 2,18.21). Et chez le deuxième Isaïe « Ton époux c’est Celui qui t’a faite... Est-ce que l’on rejette la femme de sa jeunesse ?... dans mon éternelle fidélité, je te montre ma tendresse. » (Is 54, 5...8). Le texte le plus impressionnant sur ce sujet, c’est évidemment le Cantique des Cantiques : il se présente comme un long dialogue amoureux, composé de sept poèmes ; pour être franc, nulle part les deux amoureux ne sont identifiés ; mais les Juifs le comprennent comme une parabole de l’amour de Dieu pour l’humanité ; la preuve, c’est qu’ils le lisent tout spécialement pendant la célébration de la Pâque, qui est pour eux la grande fête de l’Alliance de Dieu avec son peuple, et, à travers son peuple, avec toute l’humanité.</w:t>
      </w:r>
    </w:p>
    <w:p w14:paraId="3C7E6EF3"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Pour revenir au texte d’aujourd’hui, l’un des passe-temps préférés, apparemment, du bien-aimé est de donner des noms nouveaux à sa bien-aimée. Vous savez l’importance du Nom dans les relations humaines : quelqu’un ou quelque chose que je ne sais pas nommer n’existe pas pour moi... Savoir nommer quelqu’un, c’est déjà le connaître ; et quand notre relation avec une personne s’approfondit, il n’est pas rare que nous éprouvions le besoin de lui donner un surnom, parfois connu de nous seuls. Dans la vie des couples, ou des familles, les diminutifs et les surnoms tiennent une grande place. Quand nous choisissons le prénom d’un enfant, par exemple, c’est très révélateur : nous faisons porter sur lui beaucoup d’espoirs ; souvent même, si on y regarde bien, c’est tout un programme.</w:t>
      </w:r>
    </w:p>
    <w:p w14:paraId="5973375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La Bible traduit cette expérience fondamentale de la vie humaine ; et le nom y a une très grande importance ; il dit le mystère de la personne, son être profond, sa vocation, sa mission : très souvent, on nous indique le sens du nom des personnages principaux. Par exemple, l’ange annonçant la naissance de Jésus précise aussitôt que ce nom veut dire : « Dieu sauve » ; c’est-à-dire que cet enfant qui porte ce nom-là sauvera l’humanité au nom de Dieu. Et parfois Dieu donne un nom nouveau à quelqu’un en même temps qu’il lui confie une mission nouvelle : Abram devient Abraham, Saraï devient Sara, Jacob devient Israël et Simon devient Pierre.</w:t>
      </w:r>
    </w:p>
    <w:p w14:paraId="341F075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lastRenderedPageBreak/>
        <w:t>Ici donc, c’est Dieu qui donne des noms nouveaux à Jérusalem : la « délaissée » devient la « Préférée », le pays de « désolation » devient « L’épousée » ; effectivement, le peuple juif pouvait avoir l’impression d’être délaissé par Dieu. Ce chapitre 62 d’Isaïe a été écrit dans le contexte du retour d’Exil. On est rentré de l’Exil (à Babylone) en 538 mais le Temple n’a commencé à être reconstruit qu’en 521 : c’est dans ce délai que la morosité s’installe et l’impression de délaissement. Si Dieu s’occupait de nous, pense-t-on, les choses iraient mieux et plus vite (il nous arrive bien de dire exactement la même chose : « s’il y avait un Bon Dieu, ces choses-là n’arriveraient pas » ...). C’est pour combattre cette désespérance qu’Isaïe, inspiré par Dieu, ose ce texte magnifique : non, Dieu n’a pas oublié son peuple et sa ville de prédilection ; et dans peu de temps cela se saura ! « Comme un jeune homme épouse une vierge, ton Bâtisseur t’épousera. Comme la jeune mariée fait la joie de son mari, tu seras la joie de ton Dieu. »</w:t>
      </w:r>
    </w:p>
    <w:p w14:paraId="597721F3" w14:textId="77777777" w:rsidR="009E38F0" w:rsidRDefault="009E38F0" w:rsidP="009E38F0">
      <w:pPr>
        <w:jc w:val="both"/>
        <w:rPr>
          <w:rFonts w:ascii="Times New Roman" w:hAnsi="Times New Roman" w:cs="Times New Roman"/>
          <w:sz w:val="28"/>
          <w:szCs w:val="28"/>
        </w:rPr>
      </w:pPr>
    </w:p>
    <w:p w14:paraId="34729DF4" w14:textId="77777777" w:rsidR="000E1EAB" w:rsidRDefault="000E1EAB" w:rsidP="000E1EAB">
      <w:pPr>
        <w:jc w:val="both"/>
        <w:rPr>
          <w:rFonts w:ascii="Times New Roman" w:hAnsi="Times New Roman" w:cs="Times New Roman"/>
          <w:sz w:val="28"/>
          <w:szCs w:val="28"/>
        </w:rPr>
      </w:pPr>
      <w:r w:rsidRPr="000B7E84">
        <w:rPr>
          <w:rFonts w:ascii="Times New Roman" w:hAnsi="Times New Roman" w:cs="Times New Roman"/>
          <w:b/>
          <w:bCs/>
          <w:sz w:val="28"/>
          <w:szCs w:val="28"/>
        </w:rPr>
        <w:t>DEUXIEME LECTURE -</w:t>
      </w:r>
      <w:r w:rsidRPr="009E38F0">
        <w:rPr>
          <w:rFonts w:ascii="Times New Roman" w:hAnsi="Times New Roman" w:cs="Times New Roman"/>
          <w:sz w:val="28"/>
          <w:szCs w:val="28"/>
        </w:rPr>
        <w:t xml:space="preserve"> première lettre de Saint Paul apôtre aux Corinthiens  12,4-11</w:t>
      </w:r>
    </w:p>
    <w:p w14:paraId="5660901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CHRETIENS DANS UN MONDE PAIEN</w:t>
      </w:r>
    </w:p>
    <w:p w14:paraId="5185373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La lettre aux Corinthiens date de vingt siècles et elle n'a pas pris une ride ! Au contraire, elle est complètement d'actualité : comment faire pour rester Chrétiens dans un monde qui a des valeurs tout autres ? Comment trier, dans les idées qui circulent, celles qui sont compatibles avec la foi chrétienne ? Comment cohabiter avec des non-Chrétiens sans manquer à la charité ? Mais aussi sans y perdre notre âme, comme on dit ? Le monde tout autour parle de sexe et d’argent... Comment l’évangéliser ? C’étaient les questions des Chrétiens de Corinthe convertis de fraîche date dans un monde majoritairement païen ; ce sont les nôtres, aujourd’hui, Chrétiens de souche ou non, mais dans une société qui ne privilégie plus les valeurs chrétiennes.</w:t>
      </w:r>
    </w:p>
    <w:p w14:paraId="7EA45042"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Les réponses de Paul nous concernent donc presque toutes. Il parle des divisions dans la communauté, des problèmes de la vie conjugale, notamment quand les deux époux ne partagent pas la même foi, du cap à tenir au milieu de tous les marchands d’idées nouvelles : sur tous ces points, il remet les choses à leur place. Mais comme toujours, quand il parle de choses très concrètes, il rappelle d’abord le fondement des choses, qui est notre Baptême : comme disait Jean-Baptiste, par le Baptême, nous avons été plongés dans le feu de l’Esprit (Mt 3,11), et désormais c’est l’Esprit qui se réfracte à travers nous selon nos propres diversités. Paul ne dit pas autre chose : « Celui qui agit en tout cela, c’est l’unique et même Esprit : il distribue ses dons, comme il le veut, à chacun en particulier. »</w:t>
      </w:r>
    </w:p>
    <w:p w14:paraId="00A7E9E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lastRenderedPageBreak/>
        <w:t>A Corinthe, comme dans tout le monde hellénistique, on adorait l’intelligence, on rêvait de découvrir la sagesse, on parlait partout de philosophie. A ces gens qui rêvaient de découvrir la sagesse par eux-mêmes et par la rigueur de leurs raisonnements, Paul répond : la vraie sagesse, la seule connaissance qui compte, n’est pas au bout de nos discours : elle est un don de Dieu. « A celui-ci est donnée, par l'Esprit, une parole de sagesse ; à un autre, une parole de connaissance selon le même Esprit. » Il n’y a pas de quoi s’enorgueillir, tout est cadeau. Le mot « don » (ou le verbe « donner ») revient sept fois ! Dans la Bible, ce n’est pas nouveau ! Ici, Paul ne fait que reprendre en termes chrétiens ce que son peuple avait découvert depuis longtemps, à savoir que seul Dieu connaît et peut faire découvrir la vraie sagesse. La nouveauté du discours de Paul est ailleurs : elle consiste à parler de l’Esprit comme d’une Personne.</w:t>
      </w:r>
    </w:p>
    <w:p w14:paraId="44C58C40"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L’ESPRIT A L’ŒUVRE DANS LA COMMUNAUTE</w:t>
      </w:r>
    </w:p>
    <w:p w14:paraId="69A24FB6"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Plus profondément, Paul se démarque totalement par rapport aux recherches philosophiques des uns et des autres : il ne propose pas une nouvelle école de philosophie, une de plus... Il annonce Quelqu’un. Car les dons qui sont ainsi distribués aux membres de la communauté chrétienne ne sont pas de l’ordre du pouvoir ni du savoir, ils sont une présence intérieure : le nom de l’Esprit est cité sept fois dans ce passage. Finalement, ce texte est adressé aux Corinthiens, mais il ne parle pas d’eux, il parle exclusivement de l’Esprit à l’oeuvre dans la communauté chrétienne ; et qui, patiemment, inlassablement, nous tourne vers notre Père (il nous souffle de dire « Abba » - Père) et il nous tourne vers nos frères.</w:t>
      </w:r>
    </w:p>
    <w:p w14:paraId="12D8E3F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Pour que les choses soient bien claires, Paul précise : « A chacun est donnée la manifestation de l’Esprit en vue du bien. » On sait que les Corinthiens étaient avides de phénomènes spirituels extraordinaires, mais Saint Paul leur rappelle l’unique objectif : c’est le bien de tous. Car l’objectif de l’Esprit, ce n’est rien d’autre puisqu’il est l’Amour personnifié. Et alors, dans ses mains, si j’ose dire, nous devenons des instruments d’une infinie variété par la grâce de celui qui est le Dieu Un : « Les dons de la grâce sont variés, mais c’est le même Esprit. Les services sont variés, mais c’est le même Seigneur. Les activités sont variées, mais c’est le même Dieu qui agit en tout et en tous. »</w:t>
      </w:r>
    </w:p>
    <w:p w14:paraId="25AE5552"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Telle est la merveille de nos diversités : elles nous rendent capables, chacun à sa façon, de manifester l’Amour de Dieu. Une des leçons de ce texte de Saint Paul est certainement d’apprendre à nous réjouir de nos différences. Elles sont les multiples facettes de ce que l’Amour nous rend capables de faire selon l’originalité de chacun. Réjouissons-nous donc de la variété des races, des couleurs, des langues, des dons, des arts, des inventions... C’est ce qui fait la richesse de l’Eglise et du monde à condition de les vivre dans l’amour.</w:t>
      </w:r>
    </w:p>
    <w:p w14:paraId="2C0BF56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lastRenderedPageBreak/>
        <w:t>C’est comme un orchestre : une même inspiration... des expressions différentes et complémentaires, des instruments différents et voilà une symphonie... une symphonie à condition de jouer tous dans la même tonalité... c’est quand nous ne jouons pas tous dans le même ton qu’il y a une cacophonie ! La symphonie dont il est question ici c’est le chant d’amour que l’Eglise est chargée de chanter au monde : disons « l’hymne à l’Amour » comme on dit « l’hymne à la joie » de Beethoven. Notre complémentarité dans l’Eglise n’est pas une affaire de rôles, de fonctions, pour que l’Eglise vive avec un organigramme bien en place... C’est beaucoup plus grave et plus beau que cela : il s'agit de la mission confiée à l'Eglise de révéler l'Amour de Dieu : c'est notre seule raison d'être.</w:t>
      </w:r>
    </w:p>
    <w:p w14:paraId="61D2E069" w14:textId="77777777" w:rsidR="00B55C81" w:rsidRPr="009E38F0" w:rsidRDefault="00B55C81" w:rsidP="009E38F0">
      <w:pPr>
        <w:jc w:val="both"/>
        <w:rPr>
          <w:rFonts w:ascii="Times New Roman" w:hAnsi="Times New Roman" w:cs="Times New Roman"/>
          <w:sz w:val="28"/>
          <w:szCs w:val="28"/>
        </w:rPr>
      </w:pPr>
    </w:p>
    <w:p w14:paraId="3591C8C2" w14:textId="54E8F7AB" w:rsidR="000E1EAB" w:rsidRDefault="000E1EAB" w:rsidP="000E1EAB">
      <w:pPr>
        <w:jc w:val="both"/>
        <w:rPr>
          <w:rFonts w:ascii="Times New Roman" w:hAnsi="Times New Roman" w:cs="Times New Roman"/>
          <w:sz w:val="28"/>
          <w:szCs w:val="28"/>
        </w:rPr>
      </w:pPr>
      <w:r w:rsidRPr="000B7E84">
        <w:rPr>
          <w:rFonts w:ascii="Times New Roman" w:hAnsi="Times New Roman" w:cs="Times New Roman"/>
          <w:b/>
          <w:bCs/>
          <w:sz w:val="28"/>
          <w:szCs w:val="28"/>
        </w:rPr>
        <w:t>EVANGILE -</w:t>
      </w:r>
      <w:r w:rsidRPr="009E38F0">
        <w:rPr>
          <w:rFonts w:ascii="Times New Roman" w:hAnsi="Times New Roman" w:cs="Times New Roman"/>
          <w:sz w:val="28"/>
          <w:szCs w:val="28"/>
        </w:rPr>
        <w:t xml:space="preserve"> selon Saint Jean 2,1-11</w:t>
      </w:r>
    </w:p>
    <w:p w14:paraId="015E270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L’HEURE DE LA NOUVELLE CREATION A SONNE</w:t>
      </w:r>
    </w:p>
    <w:p w14:paraId="140C17F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Il faut nous habituer à la manière d'écrire de Jean l'évangéliste ! C'est entre les lignes que les choses importantes sont dites ! Pour lui, ce premier « signe » (comme il dit) de Jésus à Cana est très important : il évoque à lui tout seul le grand mystère du projet de Dieu sur l’humanité, mystère de Création, mystère d’Alliance, mystère de Noces. Ce que nous appelons le Prologue, chez Jean, c’est-à-dire le tout début de son premier chapitre, était une grande méditation sur ce mystère ; le texte qui nous rapporte le miracle de Cana est exactement la même méditation, mais sur le mode du récit, cette fois. Comme si ces deux textes, au début de l’évangile, devaient nous introduire à la compréhension de tout ce qui va suivre. Je vous propose donc de lire le récit des noces de Cana à la lumière du Prologue.</w:t>
      </w:r>
    </w:p>
    <w:p w14:paraId="2F00A2E5"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 xml:space="preserve">Qu’y a-t-il eu entre les deux ? Des événements qui composent ce que l’on appelle la « semaine inaugurale » de la vie publique de Jésus. Elle commence auprès de Jean-Baptiste au bord du Jourdain où des Pharisiens sont venus l’interroger sur sa mission ; et déjà Jean-Baptiste annonçait la venue de Jésus ; le lendemain, Jean-Baptiste a la joie de voir Jésus lui-même venir vers lui et il reconnaît en lui « le Fils de Dieu, celui qui baptise dans l’Esprit Saint » (Jn 1,33-34). Le lendemain encore, (et c’est Jean qui donne la précision comme s’il disait « il y eut un soir, il y eut un matin »), nouvelle rencontre au bord de l’eau : cette fois, ce sont deux disciples de Jean-Baptiste qui se détachent de son groupe pour suivre Jésus et celui-ci les invite à passer la soirée auprès de lui. Le jour suivant, Jésus part en Galilée accompagné déjà de quelques disciples. Et c’est en Galilée, trois jours plus tard, qu’a lieu le miracle de Cana : Jean commence son récit des noces de Cana en disant « le troisième jour1, il y eut un mariage à Cana en Galilée » ; on est, bien sûr, tentés de faire le compte de tous ces jours depuis le début : cela </w:t>
      </w:r>
      <w:r w:rsidRPr="009E38F0">
        <w:rPr>
          <w:rFonts w:ascii="Times New Roman" w:hAnsi="Times New Roman" w:cs="Times New Roman"/>
          <w:sz w:val="28"/>
          <w:szCs w:val="28"/>
        </w:rPr>
        <w:lastRenderedPageBreak/>
        <w:t>donne « le septième jour » ; l’évocation d’une semaine, d’un « septième jour », dans un évangile, ce n’est évidemment pas anodin. Le « septième jour » renvoie toujours à l’achèvement de la Création.</w:t>
      </w:r>
    </w:p>
    <w:p w14:paraId="4675FEB3"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Comme le mot « commencement », d’ailleurs, que l’évangéliste emploie à la fin de son récit : « Tel fut le commencement des signes que Jésus accomplit. » Dans le Prologue, Jean affirmait « Au commencement était le Verbe, et le Verbe était auprès de Dieu et le Verbe était Dieu. Il était au commencement auprès de Dieu. C’est par lui que tout est venu à l’existence et rien de ce qui s’est fait ne s’est fait sans lui. » Nous voici dans le cadre des sept jours de la Création.</w:t>
      </w:r>
    </w:p>
    <w:p w14:paraId="37B8F082"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L’HEURE DES NOCES DE DIEU AVEC L’HUMANITE</w:t>
      </w:r>
    </w:p>
    <w:p w14:paraId="4CEF745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L’épisode des noces de Cana, un septième jour, lui fait donc un lointain écho : car, en réalité, à Cana, Jésus ne se contente pas de multiplier le vin, il le crée ; comme au commencement de toutes choses, le Verbe était tourné vers Dieu pour créer le monde, une nouvelle étape s’inaugure à Cana : la création nouvelle a commencé.</w:t>
      </w:r>
    </w:p>
    <w:p w14:paraId="194FABB1"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Et il s’agit d’une noce ! On pourrait continuer le parallèle : au sixième jour, Dieu avait achevé son oeuvre par la création du couple humain à son image ; au septième jour de la nouvelle création, Jésus participe à un repas de noces. Manière de dire que le projet créateur de Dieu est en définitive un projet d’alliance, un projet de noce. (Nous comprenons mieux alors pourquoi nous avons lu en première lecture ce texte du troisième Isaïe dans lequel Dieu disait à son peuple : « Comme la jeune mariée fait la joie de son mari, tu seras la joie de ton Dieu » ; Is 62) Les Pères de l’Eglise ne se sont pas privés de voir dans le miracle de Cana la réalisation de la promesse de Dieu : la fête des noces de Dieu avec l’humanité débute là.</w:t>
      </w:r>
    </w:p>
    <w:p w14:paraId="207A569B"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C’est pour cela que le mot « Heure » chez Jean est si important : il s’agit de l’Heure où le projet de Dieu a été définitivement accompli en Jésus-Christ. C’est bien à cela que Jésus pense quand il dit à Marie : « Femme, que me veux-tu ? Mon heure n’est pas encore venue. » Visiblement ses préoccupations sont au-delà du problème matériel du manque de vin : il ne perd pas de vue sa mission qui est d’accomplir les noces de Dieu avec l’humanité.</w:t>
      </w:r>
    </w:p>
    <w:p w14:paraId="10593FB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Mais la première phrase (« Femme, que me veux-tu ? ») reste surprenante et on a beaucoup épilogué ; en réalité, dans le texte grec, c’est « qu’y a-t-il pour toi et pour moi ? » autrement dit : « tu ne peux pas comprendre ». Jésus affronte là, seul, la grande question de sa mission : pour accomplir cette mission, concrètement, que doit-il faire ? Doit-il créer du vin ? Et ainsi manifester qu’il est le Fils de Dieu ?</w:t>
      </w:r>
    </w:p>
    <w:p w14:paraId="4AEE2D4A"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lastRenderedPageBreak/>
        <w:t>On a peut-être ici, dans l’évangile de Jean, un écho du récit des Tentations dans les Evangiles synoptiques ; ce qui expliquerait, d’ailleurs, la sécheresse apparente de la phrase de Jésus à sa mère ; au désert, dans l’épisode des Tentations, la question qui s’est posée à Jésus était « qu’est-ce, au juste, être Fils de Dieu ? » et le Tentateur lui avait susurré « si tu es vraiment le Fils de Dieu, maintenant que tu as faim, ordonne que ces pierres deviennent du pain ». On remarquera une chose : quand il est seul au désert, Jésus refuse de faire les miracles que lui suggère le Tentateur, car il en serait le seul bénéficiaire. A Cana, au contraire, Jésus multiplie le vin de la fête pour la joie des convives. Ce qui revient à dire que le Fils de Dieu ne fait de miracles que pour le bonheur des hommes.</w:t>
      </w:r>
    </w:p>
    <w:p w14:paraId="2E4C599C"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w:t>
      </w:r>
    </w:p>
    <w:p w14:paraId="42167476"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Note</w:t>
      </w:r>
    </w:p>
    <w:p w14:paraId="727EB4F2"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1 - Le « troisième jour » : à elle toute seule, cette précision est certainement un message ; là encore il ne s'agit pas d'une notation anecdotique pour remplir un journal de bord, mais d'une méditation théologique : la mémoire des disciples est à jamais marquée par un certain troisième jour, celui de la Résurrection. Elle nous renvoie donc à l'autre bout, si j'ose dire, de la vie publique de Jésus, à la Passion, la mort et la Résurrection du Christ. Manière pour Jean de nous dire : c'est là et là seulement, que l'Alliance de Dieu avec l'humanité sera définitivement scellée, ses noces célébrées. D'ailleurs la dernière phrase « Il manifesta sa gloire » est aussi une allusion à la Résurrection. Dans le Prologue, encore, Jean disait « Le Verbe s’est fait chair et il a habité parmi nous et nous avons vu sa gloire... » C’est à Cana, justement, que les disciples ont vu la gloire de Jésus pour la première fois. En attendant la manifestation définitive de la gloire de Dieu sur le visage du Christ, mort et ressuscité.</w:t>
      </w:r>
    </w:p>
    <w:p w14:paraId="01F09F34" w14:textId="77777777" w:rsidR="00B55C81" w:rsidRPr="009E38F0" w:rsidRDefault="00B55C81" w:rsidP="009E38F0">
      <w:pPr>
        <w:jc w:val="both"/>
        <w:rPr>
          <w:rFonts w:ascii="Times New Roman" w:hAnsi="Times New Roman" w:cs="Times New Roman"/>
          <w:sz w:val="28"/>
          <w:szCs w:val="28"/>
        </w:rPr>
      </w:pPr>
    </w:p>
    <w:p w14:paraId="071847F7"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Compléments</w:t>
      </w:r>
    </w:p>
    <w:p w14:paraId="498D7971"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 Saint Jean précise que Cana est en Galilée ; ce qui élargit considérablement la perspective : car la Galilée, traditionnellement, c’est le pays des païens, un carrefour de peuples ; Isaïe l’appelait le « pays de l’ombre, la Galilée des nations » : Dieu donc épouse l’humanité tout entière et pas seulement quelques privilégiés.</w:t>
      </w:r>
    </w:p>
    <w:p w14:paraId="5378C30D"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 xml:space="preserve">- « Femme que me veux-tu ? »  Ne cherchons pas à minimiser l’indéniable vivacité de cette réaction du Fils envers sa mère. En hébreu, cette phrase marque généralement une divergence de vues, parfois même une hostilité (Jg 11,12 ; Mc 1,24 ; 2 S 16,10 ; 2 S 19,23) ; reconnaissons qu’il s’agit ici de cas extrêmes ; la réflexion de Jésus s’apparente peut-être davantage à celle de la veuve de Sarepta </w:t>
      </w:r>
      <w:r w:rsidRPr="009E38F0">
        <w:rPr>
          <w:rFonts w:ascii="Times New Roman" w:hAnsi="Times New Roman" w:cs="Times New Roman"/>
          <w:sz w:val="28"/>
          <w:szCs w:val="28"/>
        </w:rPr>
        <w:lastRenderedPageBreak/>
        <w:t>face à Elie au moment de la mort de son fils (1 R 17,18) : elle considère la présence du prophète comme une intervention inopportune. Mais la difficulté persiste : Jésus, le doux et humble de coeur, manquerait-il de respect envers sa mère ? En réalité, peut-être y a-t-il ici l’aveu implicite d’un véritable affrontement intérieur pour le Fils au sujet de sa mission. Lui qui ne s’autorisait pas à accomplir des miracles pour son seul bénéfice (changer des pierres en pain), devait-il ici transformer l’eau en vin ? Ici, on touche à la profondeur du mystère du Christ, mystère dont lui-même a progressivement  pris conscience : pleinement homme, il a dû grandir peu à peu comme chacun de nous dans la découverte de sa mission.</w:t>
      </w:r>
    </w:p>
    <w:p w14:paraId="5ADFA090"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 Les cuves d’eau de Cana sont en pierre et Jean le précise intentionnellement : les poteries de terre cuite étaient employées pour l’eau potable, les cuves de pierre pour l’eau des ablutions rituelles. C’est cette eau-là, eau symbolique de l’Alliance, qui est devenue vin des noces.</w:t>
      </w:r>
    </w:p>
    <w:p w14:paraId="501FA228" w14:textId="77777777" w:rsidR="00B55C81" w:rsidRPr="009E38F0" w:rsidRDefault="00B55C81" w:rsidP="009E38F0">
      <w:pPr>
        <w:jc w:val="both"/>
        <w:rPr>
          <w:rFonts w:ascii="Times New Roman" w:hAnsi="Times New Roman" w:cs="Times New Roman"/>
          <w:sz w:val="28"/>
          <w:szCs w:val="28"/>
        </w:rPr>
      </w:pPr>
      <w:r w:rsidRPr="009E38F0">
        <w:rPr>
          <w:rFonts w:ascii="Times New Roman" w:hAnsi="Times New Roman" w:cs="Times New Roman"/>
          <w:sz w:val="28"/>
          <w:szCs w:val="28"/>
        </w:rPr>
        <w:t>- Les disciples ne découvriront le miracle qu'après coup ; mais les seuls qui sont réellement dans la confidence, et Saint Jean le souligne, ce sont les serviteurs (verset 9) : ils le savaient dans leur chair, si j'ose dire, parce que ce sont eux qui sont allés puiser l'eau, qui l'ont transportée, et tout cela dans une obéissance aveugle, sans comprendre peut-être à quoi allait servir cette eau. Mais, bien sûr, nous ne sommes pas surpris outre mesure que des pauvres soient les premiers au courant du projet de Dieu !</w:t>
      </w:r>
    </w:p>
    <w:p w14:paraId="0F8C2BB2" w14:textId="77777777" w:rsidR="009E38F0" w:rsidRPr="009E38F0" w:rsidRDefault="009E38F0" w:rsidP="009E38F0">
      <w:pPr>
        <w:jc w:val="both"/>
        <w:rPr>
          <w:rFonts w:ascii="Times New Roman" w:hAnsi="Times New Roman" w:cs="Times New Roman"/>
          <w:sz w:val="28"/>
          <w:szCs w:val="28"/>
        </w:rPr>
      </w:pPr>
    </w:p>
    <w:p w14:paraId="372236C0" w14:textId="77777777" w:rsidR="009E38F0" w:rsidRPr="009E38F0" w:rsidRDefault="009E38F0">
      <w:pPr>
        <w:jc w:val="both"/>
        <w:rPr>
          <w:rFonts w:ascii="Times New Roman" w:hAnsi="Times New Roman" w:cs="Times New Roman"/>
          <w:sz w:val="28"/>
          <w:szCs w:val="28"/>
        </w:rPr>
      </w:pPr>
    </w:p>
    <w:sectPr w:rsidR="009E38F0" w:rsidRPr="009E38F0" w:rsidSect="00B55C81">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6C3F"/>
    <w:multiLevelType w:val="multilevel"/>
    <w:tmpl w:val="0F1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81"/>
    <w:rsid w:val="000B7E84"/>
    <w:rsid w:val="000E1EAB"/>
    <w:rsid w:val="009E38F0"/>
    <w:rsid w:val="00B5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654D"/>
  <w15:chartTrackingRefBased/>
  <w15:docId w15:val="{37A3153E-B574-4939-90E0-BBFB5814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3995">
      <w:bodyDiv w:val="1"/>
      <w:marLeft w:val="0"/>
      <w:marRight w:val="0"/>
      <w:marTop w:val="0"/>
      <w:marBottom w:val="0"/>
      <w:divBdr>
        <w:top w:val="none" w:sz="0" w:space="0" w:color="auto"/>
        <w:left w:val="none" w:sz="0" w:space="0" w:color="auto"/>
        <w:bottom w:val="none" w:sz="0" w:space="0" w:color="auto"/>
        <w:right w:val="none" w:sz="0" w:space="0" w:color="auto"/>
      </w:divBdr>
      <w:divsChild>
        <w:div w:id="2106462612">
          <w:marLeft w:val="0"/>
          <w:marRight w:val="0"/>
          <w:marTop w:val="0"/>
          <w:marBottom w:val="0"/>
          <w:divBdr>
            <w:top w:val="none" w:sz="0" w:space="0" w:color="auto"/>
            <w:left w:val="none" w:sz="0" w:space="0" w:color="auto"/>
            <w:bottom w:val="none" w:sz="0" w:space="0" w:color="auto"/>
            <w:right w:val="none" w:sz="0" w:space="0" w:color="auto"/>
          </w:divBdr>
          <w:divsChild>
            <w:div w:id="979072392">
              <w:marLeft w:val="0"/>
              <w:marRight w:val="0"/>
              <w:marTop w:val="0"/>
              <w:marBottom w:val="0"/>
              <w:divBdr>
                <w:top w:val="none" w:sz="0" w:space="0" w:color="auto"/>
                <w:left w:val="none" w:sz="0" w:space="0" w:color="auto"/>
                <w:bottom w:val="none" w:sz="0" w:space="0" w:color="auto"/>
                <w:right w:val="none" w:sz="0" w:space="0" w:color="auto"/>
              </w:divBdr>
            </w:div>
          </w:divsChild>
        </w:div>
        <w:div w:id="1299992636">
          <w:marLeft w:val="0"/>
          <w:marRight w:val="0"/>
          <w:marTop w:val="0"/>
          <w:marBottom w:val="0"/>
          <w:divBdr>
            <w:top w:val="none" w:sz="0" w:space="0" w:color="auto"/>
            <w:left w:val="none" w:sz="0" w:space="0" w:color="auto"/>
            <w:bottom w:val="none" w:sz="0" w:space="0" w:color="auto"/>
            <w:right w:val="none" w:sz="0" w:space="0" w:color="auto"/>
          </w:divBdr>
          <w:divsChild>
            <w:div w:id="14561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3175</Words>
  <Characters>17464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2</cp:revision>
  <dcterms:created xsi:type="dcterms:W3CDTF">2022-01-11T16:44:00Z</dcterms:created>
  <dcterms:modified xsi:type="dcterms:W3CDTF">2022-01-12T15:50:00Z</dcterms:modified>
</cp:coreProperties>
</file>